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52" w:rsidRDefault="00CD7552" w:rsidP="00CD755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書籍勘誤</w:t>
      </w:r>
    </w:p>
    <w:p w:rsidR="00CD7552" w:rsidRDefault="00CD7552" w:rsidP="00CD755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行政學概要（</w:t>
      </w:r>
      <w:r w:rsidR="002E3F22">
        <w:rPr>
          <w:rFonts w:hint="eastAsia"/>
          <w:b/>
          <w:bCs/>
          <w:sz w:val="28"/>
        </w:rPr>
        <w:t>T5D43</w:t>
      </w:r>
      <w:r>
        <w:rPr>
          <w:rFonts w:hint="eastAsia"/>
          <w:b/>
          <w:bCs/>
          <w:sz w:val="28"/>
        </w:rPr>
        <w:t>）</w:t>
      </w:r>
    </w:p>
    <w:p w:rsidR="00CD7552" w:rsidRDefault="00CD7552" w:rsidP="00CD7552"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</w:t>
      </w:r>
      <w:r>
        <w:rPr>
          <w:rFonts w:hint="eastAsia"/>
          <w:b/>
          <w:bCs/>
          <w:sz w:val="28"/>
        </w:rPr>
        <w:t>（</w:t>
      </w:r>
      <w:r>
        <w:rPr>
          <w:b/>
          <w:bCs/>
          <w:sz w:val="30"/>
          <w:szCs w:val="30"/>
        </w:rPr>
        <w:t>104.</w:t>
      </w:r>
      <w:r>
        <w:rPr>
          <w:rFonts w:hint="eastAsia"/>
          <w:b/>
          <w:bCs/>
          <w:sz w:val="30"/>
          <w:szCs w:val="30"/>
        </w:rPr>
        <w:t>10</w:t>
      </w:r>
      <w:r w:rsidR="00985DC1">
        <w:rPr>
          <w:rFonts w:hint="eastAsia"/>
          <w:b/>
          <w:bCs/>
          <w:sz w:val="30"/>
          <w:szCs w:val="30"/>
        </w:rPr>
        <w:t>.12</w:t>
      </w:r>
      <w:r>
        <w:rPr>
          <w:b/>
          <w:bCs/>
          <w:sz w:val="28"/>
        </w:rPr>
        <w:t xml:space="preserve"> </w:t>
      </w:r>
      <w:r w:rsidR="002E3F22">
        <w:rPr>
          <w:rFonts w:hint="eastAsia"/>
          <w:b/>
          <w:bCs/>
          <w:sz w:val="28"/>
        </w:rPr>
        <w:t>五</w:t>
      </w:r>
      <w:r>
        <w:rPr>
          <w:rFonts w:hint="eastAsia"/>
          <w:b/>
          <w:bCs/>
          <w:sz w:val="28"/>
        </w:rPr>
        <w:t>版）</w:t>
      </w: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/>
          <w:bCs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b/>
          <w:bCs/>
          <w:sz w:val="20"/>
          <w:szCs w:val="20"/>
        </w:rPr>
        <w:t>P14</w:t>
      </w: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Cs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bCs/>
          <w:sz w:val="20"/>
          <w:szCs w:val="20"/>
        </w:rPr>
        <w:t>第六行應改為全美公共事務與行政學聯盟（</w:t>
      </w:r>
      <w:r w:rsidRPr="003061D8">
        <w:rPr>
          <w:rFonts w:ascii="Times New Roman" w:eastAsia="華康細明體(P)" w:hAnsi="Times New Roman" w:cs="Times New Roman"/>
          <w:bCs/>
          <w:sz w:val="20"/>
          <w:szCs w:val="20"/>
        </w:rPr>
        <w:t>NASPAA</w:t>
      </w:r>
      <w:r w:rsidRPr="003061D8">
        <w:rPr>
          <w:rFonts w:ascii="Times New Roman" w:eastAsia="華康細明體(P)" w:hAnsi="Times New Roman" w:cs="Times New Roman"/>
          <w:bCs/>
          <w:sz w:val="20"/>
          <w:szCs w:val="20"/>
        </w:rPr>
        <w:t>）</w:t>
      </w: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Cs/>
          <w:sz w:val="20"/>
          <w:szCs w:val="20"/>
        </w:rPr>
      </w:pP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/>
          <w:bCs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b/>
          <w:bCs/>
          <w:sz w:val="20"/>
          <w:szCs w:val="20"/>
        </w:rPr>
        <w:t>P16-17</w:t>
      </w: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Cs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bCs/>
          <w:sz w:val="20"/>
          <w:szCs w:val="20"/>
        </w:rPr>
        <w:t>德性的公民相關內容補上；第四面向：</w:t>
      </w:r>
      <w:r w:rsidRPr="003061D8">
        <w:rPr>
          <w:rFonts w:ascii="Times New Roman" w:eastAsia="華康細明體(P)" w:hAnsi="Times New Roman" w:cs="Times New Roman"/>
          <w:sz w:val="20"/>
          <w:szCs w:val="20"/>
        </w:rPr>
        <w:t>謙恭有禮，有德性的公民本身待人處事應謙恭有禮</w:t>
      </w:r>
    </w:p>
    <w:p w:rsidR="00CD7552" w:rsidRPr="003061D8" w:rsidRDefault="00CD7552" w:rsidP="00CD7552">
      <w:pPr>
        <w:jc w:val="both"/>
        <w:rPr>
          <w:rFonts w:ascii="Times New Roman" w:eastAsia="華康細明體(P)" w:hAnsi="Times New Roman" w:cs="Times New Roman"/>
          <w:bCs/>
          <w:sz w:val="20"/>
          <w:szCs w:val="20"/>
        </w:rPr>
      </w:pPr>
    </w:p>
    <w:p w:rsidR="00CD7552" w:rsidRPr="003061D8" w:rsidRDefault="00CD7552">
      <w:pPr>
        <w:rPr>
          <w:rFonts w:ascii="Times New Roman" w:eastAsia="華康細明體(P)" w:hAnsi="Times New Roman" w:cs="Times New Roman"/>
          <w:b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b/>
          <w:sz w:val="20"/>
          <w:szCs w:val="20"/>
        </w:rPr>
        <w:t>P</w:t>
      </w:r>
      <w:r w:rsidR="003061D8" w:rsidRPr="003061D8">
        <w:rPr>
          <w:rFonts w:ascii="Times New Roman" w:eastAsia="華康細明體(P)" w:hAnsi="Times New Roman" w:cs="Times New Roman"/>
          <w:b/>
          <w:sz w:val="20"/>
          <w:szCs w:val="20"/>
        </w:rPr>
        <w:t>2</w:t>
      </w:r>
      <w:r w:rsidRPr="003061D8">
        <w:rPr>
          <w:rFonts w:ascii="Times New Roman" w:eastAsia="華康細明體(P)" w:hAnsi="Times New Roman" w:cs="Times New Roman"/>
          <w:b/>
          <w:sz w:val="20"/>
          <w:szCs w:val="20"/>
        </w:rPr>
        <w:t>5</w:t>
      </w:r>
      <w:r w:rsidR="003061D8" w:rsidRPr="003061D8">
        <w:rPr>
          <w:rFonts w:ascii="Times New Roman" w:eastAsia="華康細明體(P)" w:hAnsi="Times New Roman" w:cs="Times New Roman"/>
          <w:b/>
          <w:sz w:val="20"/>
          <w:szCs w:val="20"/>
        </w:rPr>
        <w:t>-26</w:t>
      </w:r>
    </w:p>
    <w:p w:rsidR="00CD7552" w:rsidRDefault="003061D8">
      <w:pPr>
        <w:rPr>
          <w:rFonts w:ascii="Times New Roman" w:eastAsia="華康細明體(P)" w:hAnsi="Times New Roman" w:cs="Times New Roman"/>
          <w:sz w:val="20"/>
          <w:szCs w:val="20"/>
        </w:rPr>
      </w:pPr>
      <w:r w:rsidRPr="003061D8">
        <w:rPr>
          <w:rFonts w:ascii="Times New Roman" w:eastAsia="華康細明體(P)" w:hAnsi="Times New Roman" w:cs="Times New Roman"/>
          <w:sz w:val="20"/>
          <w:szCs w:val="20"/>
        </w:rPr>
        <w:t>重點提示表解</w:t>
      </w:r>
    </w:p>
    <w:tbl>
      <w:tblPr>
        <w:tblStyle w:val="a7"/>
        <w:tblW w:w="0" w:type="auto"/>
        <w:tblLook w:val="04A0"/>
      </w:tblPr>
      <w:tblGrid>
        <w:gridCol w:w="1242"/>
        <w:gridCol w:w="1985"/>
        <w:gridCol w:w="5135"/>
      </w:tblGrid>
      <w:tr w:rsidR="00847F3D" w:rsidTr="00847F3D">
        <w:tc>
          <w:tcPr>
            <w:tcW w:w="1242" w:type="dxa"/>
            <w:vMerge w:val="restart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三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完整系統的要素</w:t>
            </w:r>
          </w:p>
        </w:tc>
        <w:tc>
          <w:tcPr>
            <w:tcW w:w="1985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一般環境系統</w:t>
            </w:r>
          </w:p>
        </w:tc>
        <w:tc>
          <w:tcPr>
            <w:tcW w:w="5135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大部分面臨相同的客觀環境</w:t>
            </w:r>
          </w:p>
        </w:tc>
      </w:tr>
      <w:tr w:rsidR="00847F3D" w:rsidTr="00847F3D">
        <w:tc>
          <w:tcPr>
            <w:tcW w:w="1242" w:type="dxa"/>
            <w:vMerge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特定環境系統</w:t>
            </w:r>
          </w:p>
        </w:tc>
        <w:tc>
          <w:tcPr>
            <w:tcW w:w="5135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包括顧客、供應者、競爭者、社會政治及技術等因素</w:t>
            </w:r>
          </w:p>
        </w:tc>
      </w:tr>
    </w:tbl>
    <w:p w:rsidR="00847F3D" w:rsidRPr="003061D8" w:rsidRDefault="00847F3D">
      <w:pPr>
        <w:rPr>
          <w:rFonts w:ascii="Times New Roman" w:eastAsia="華康細明體(P)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1242"/>
        <w:gridCol w:w="1976"/>
        <w:gridCol w:w="5144"/>
      </w:tblGrid>
      <w:tr w:rsidR="00847F3D" w:rsidTr="00847F3D">
        <w:trPr>
          <w:trHeight w:val="380"/>
        </w:trPr>
        <w:tc>
          <w:tcPr>
            <w:tcW w:w="1242" w:type="dxa"/>
            <w:vMerge w:val="restart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三、社會系統理論</w:t>
            </w:r>
          </w:p>
        </w:tc>
        <w:tc>
          <w:tcPr>
            <w:tcW w:w="1976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內部組織系統</w:t>
            </w:r>
          </w:p>
        </w:tc>
        <w:tc>
          <w:tcPr>
            <w:tcW w:w="5144" w:type="dxa"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策略次級系統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 xml:space="preserve"> 2.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協調次及系統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 xml:space="preserve"> 3.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操作次級系統</w:t>
            </w:r>
          </w:p>
        </w:tc>
      </w:tr>
      <w:tr w:rsidR="00847F3D" w:rsidTr="00847F3D">
        <w:trPr>
          <w:trHeight w:val="346"/>
        </w:trPr>
        <w:tc>
          <w:tcPr>
            <w:tcW w:w="1242" w:type="dxa"/>
            <w:vMerge/>
          </w:tcPr>
          <w:p w:rsidR="00847F3D" w:rsidRDefault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47F3D" w:rsidRDefault="00847F3D" w:rsidP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二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社會系統功能</w:t>
            </w:r>
          </w:p>
        </w:tc>
        <w:tc>
          <w:tcPr>
            <w:tcW w:w="5144" w:type="dxa"/>
          </w:tcPr>
          <w:p w:rsidR="00847F3D" w:rsidRDefault="00847F3D" w:rsidP="00847F3D">
            <w:pPr>
              <w:rPr>
                <w:rFonts w:ascii="Times New Roman" w:eastAsia="華康細明體(P)" w:hAnsi="Times New Roman" w:cs="Times New Roman"/>
                <w:sz w:val="20"/>
                <w:szCs w:val="20"/>
              </w:rPr>
            </w:pP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適應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 xml:space="preserve"> 2.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達成目標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 xml:space="preserve"> 3.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模式維持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 xml:space="preserve"> 4.</w:t>
            </w:r>
            <w:r>
              <w:rPr>
                <w:rFonts w:ascii="Times New Roman" w:eastAsia="華康細明體(P)" w:hAnsi="Times New Roman" w:cs="Times New Roman" w:hint="eastAsia"/>
                <w:sz w:val="20"/>
                <w:szCs w:val="20"/>
              </w:rPr>
              <w:t>整合</w:t>
            </w:r>
          </w:p>
        </w:tc>
      </w:tr>
    </w:tbl>
    <w:p w:rsidR="00CD7552" w:rsidRDefault="00CD7552">
      <w:pPr>
        <w:rPr>
          <w:rFonts w:ascii="Times New Roman" w:eastAsia="華康細明體(P)" w:hAnsi="Times New Roman" w:cs="Times New Roman"/>
          <w:sz w:val="20"/>
          <w:szCs w:val="20"/>
        </w:rPr>
      </w:pPr>
    </w:p>
    <w:p w:rsidR="000F61D5" w:rsidRPr="000F61D5" w:rsidRDefault="000F61D5">
      <w:pPr>
        <w:rPr>
          <w:rFonts w:ascii="Times New Roman" w:eastAsia="華康細明體(P)" w:hAnsi="Times New Roman" w:cs="Times New Roman"/>
          <w:b/>
          <w:sz w:val="20"/>
          <w:szCs w:val="20"/>
        </w:rPr>
      </w:pPr>
      <w:r w:rsidRPr="000F61D5">
        <w:rPr>
          <w:rFonts w:ascii="Times New Roman" w:eastAsia="華康細明體(P)" w:hAnsi="Times New Roman" w:cs="Times New Roman" w:hint="eastAsia"/>
          <w:b/>
          <w:sz w:val="20"/>
          <w:szCs w:val="20"/>
        </w:rPr>
        <w:t>P64</w:t>
      </w:r>
    </w:p>
    <w:p w:rsidR="000F61D5" w:rsidRDefault="000F61D5">
      <w:pPr>
        <w:rPr>
          <w:rFonts w:ascii="Times New Roman" w:eastAsia="華康細明體(P)" w:hAnsi="Times New Roman" w:cs="Times New Roman"/>
          <w:sz w:val="20"/>
          <w:szCs w:val="20"/>
        </w:rPr>
      </w:pPr>
      <w:r>
        <w:rPr>
          <w:rFonts w:ascii="Times New Roman" w:eastAsia="華康細明體(P)" w:hAnsi="Times New Roman" w:cs="Times New Roman" w:hint="eastAsia"/>
          <w:sz w:val="20"/>
          <w:szCs w:val="20"/>
        </w:rPr>
        <w:t>三</w:t>
      </w:r>
      <w:r>
        <w:rPr>
          <w:rFonts w:ascii="Times New Roman" w:eastAsia="華康細明體(P)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="華康細明體(P)" w:hAnsi="Times New Roman" w:cs="Times New Roman" w:hint="eastAsia"/>
          <w:sz w:val="20"/>
          <w:szCs w:val="20"/>
        </w:rPr>
        <w:t>開發中國家行政文化的特質</w:t>
      </w:r>
    </w:p>
    <w:p w:rsidR="000F61D5" w:rsidRDefault="000F61D5">
      <w:pPr>
        <w:rPr>
          <w:rFonts w:ascii="Times New Roman" w:eastAsia="華康細明體(P)" w:hAnsi="Times New Roman" w:cs="Times New Roman"/>
          <w:sz w:val="20"/>
          <w:szCs w:val="20"/>
        </w:rPr>
      </w:pPr>
    </w:p>
    <w:p w:rsidR="002D1F01" w:rsidRPr="00B16D7E" w:rsidRDefault="002D1F01">
      <w:pPr>
        <w:rPr>
          <w:rFonts w:ascii="Times New Roman" w:eastAsia="華康細明體(P)" w:hAnsi="Times New Roman" w:cs="Times New Roman"/>
          <w:b/>
          <w:sz w:val="20"/>
          <w:szCs w:val="20"/>
        </w:rPr>
      </w:pPr>
      <w:r w:rsidRPr="00B16D7E">
        <w:rPr>
          <w:rFonts w:ascii="Times New Roman" w:eastAsia="華康細明體(P)" w:hAnsi="Times New Roman" w:cs="Times New Roman" w:hint="eastAsia"/>
          <w:b/>
          <w:sz w:val="20"/>
          <w:szCs w:val="20"/>
        </w:rPr>
        <w:t>P100</w:t>
      </w:r>
    </w:p>
    <w:p w:rsidR="002D1F01" w:rsidRDefault="002D1F01">
      <w:pPr>
        <w:rPr>
          <w:rFonts w:ascii="Times New Roman" w:eastAsia="華康細明體(P)" w:hAnsi="Times New Roman" w:cs="Times New Roman"/>
          <w:sz w:val="20"/>
          <w:szCs w:val="20"/>
        </w:rPr>
      </w:pPr>
      <w:r>
        <w:rPr>
          <w:rFonts w:ascii="Times New Roman" w:eastAsia="華康細明體(P)" w:hAnsi="Times New Roman" w:cs="Times New Roman" w:hint="eastAsia"/>
          <w:sz w:val="20"/>
          <w:szCs w:val="20"/>
        </w:rPr>
        <w:t>行政學補給站內容</w:t>
      </w:r>
    </w:p>
    <w:p w:rsidR="002D1F01" w:rsidRPr="002D1F01" w:rsidRDefault="002D1F01" w:rsidP="002D1F01">
      <w:pPr>
        <w:rPr>
          <w:rFonts w:ascii="Times New Roman" w:eastAsia="華康細明體(P)" w:hAnsi="Times New Roman" w:cs="Times New Roman"/>
          <w:sz w:val="20"/>
          <w:szCs w:val="20"/>
        </w:rPr>
      </w:pPr>
      <w:r>
        <w:rPr>
          <w:rFonts w:ascii="Times New Roman" w:eastAsia="華康細明體(P)" w:hAnsi="Times New Roman" w:cs="Times New Roman" w:hint="eastAsia"/>
          <w:sz w:val="20"/>
          <w:szCs w:val="20"/>
        </w:rPr>
        <w:t>※</w:t>
      </w:r>
      <w:proofErr w:type="gramStart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府際管理</w:t>
      </w:r>
      <w:proofErr w:type="gramEnd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案例說明</w:t>
      </w: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 xml:space="preserve"> </w:t>
      </w:r>
    </w:p>
    <w:p w:rsidR="002D1F01" w:rsidRDefault="002D1F01" w:rsidP="002D1F01">
      <w:pPr>
        <w:rPr>
          <w:rFonts w:ascii="Times New Roman" w:eastAsia="華康細明體(P)" w:hAnsi="Times New Roman" w:cs="Times New Roman"/>
          <w:sz w:val="20"/>
          <w:szCs w:val="20"/>
        </w:rPr>
      </w:pP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高高屏</w:t>
      </w:r>
      <w:proofErr w:type="gramStart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三</w:t>
      </w:r>
      <w:proofErr w:type="gramEnd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縣市共同制定地方永續發展策略規劃書，常藉三縣市首長會報或聯繫機制提昇地方永續</w:t>
      </w: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 xml:space="preserve"> </w:t>
      </w: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發展推動成效，在開發與保育兼顧下，善用特殊水陸資源，提供多樣化、高品質遊憩服務設施及</w:t>
      </w: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 xml:space="preserve"> </w:t>
      </w:r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活動，並結合當地產業、民俗文化特色，使大鵬灣成為海上休閒渡假勝地，帶動大鵬灣及鄰近地區之發展，成為「</w:t>
      </w:r>
      <w:proofErr w:type="gramStart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跨域治理</w:t>
      </w:r>
      <w:proofErr w:type="gramEnd"/>
      <w:r w:rsidRPr="002D1F01">
        <w:rPr>
          <w:rFonts w:ascii="Times New Roman" w:eastAsia="華康細明體(P)" w:hAnsi="Times New Roman" w:cs="Times New Roman" w:hint="eastAsia"/>
          <w:sz w:val="20"/>
          <w:szCs w:val="20"/>
        </w:rPr>
        <w:t>」與「區域合作」之成功案例。</w:t>
      </w:r>
    </w:p>
    <w:p w:rsidR="00CC7D76" w:rsidRDefault="00CC7D76" w:rsidP="002D1F01">
      <w:pPr>
        <w:rPr>
          <w:rFonts w:ascii="Times New Roman" w:eastAsia="華康細明體(P)" w:hAnsi="Times New Roman" w:cs="Times New Roman"/>
          <w:sz w:val="20"/>
          <w:szCs w:val="20"/>
        </w:rPr>
      </w:pPr>
    </w:p>
    <w:p w:rsidR="00CC7D76" w:rsidRPr="00CC7D76" w:rsidRDefault="00CC7D76" w:rsidP="002D1F01">
      <w:pPr>
        <w:rPr>
          <w:rFonts w:ascii="Times New Roman" w:eastAsia="華康細明體(P)" w:hAnsi="Times New Roman" w:cs="Times New Roman"/>
          <w:b/>
          <w:sz w:val="20"/>
          <w:szCs w:val="20"/>
        </w:rPr>
      </w:pPr>
      <w:r w:rsidRPr="00CC7D76">
        <w:rPr>
          <w:rFonts w:ascii="Times New Roman" w:eastAsia="華康細明體(P)" w:hAnsi="Times New Roman" w:cs="Times New Roman" w:hint="eastAsia"/>
          <w:b/>
          <w:sz w:val="20"/>
          <w:szCs w:val="20"/>
        </w:rPr>
        <w:t>P212</w:t>
      </w:r>
    </w:p>
    <w:p w:rsidR="00CC7D76" w:rsidRDefault="00CC7D76" w:rsidP="002D1F01">
      <w:pPr>
        <w:rPr>
          <w:rFonts w:ascii="Times New Roman" w:eastAsia="華康細明體(P)" w:hAnsi="Times New Roman" w:cs="Times New Roman"/>
          <w:sz w:val="20"/>
          <w:szCs w:val="20"/>
        </w:rPr>
      </w:pPr>
      <w:r>
        <w:rPr>
          <w:rFonts w:ascii="Times New Roman" w:eastAsia="華康細明體(P)" w:hAnsi="Times New Roman" w:cs="Times New Roman" w:hint="eastAsia"/>
          <w:sz w:val="20"/>
          <w:szCs w:val="20"/>
        </w:rPr>
        <w:t>2.Y</w:t>
      </w:r>
      <w:r>
        <w:rPr>
          <w:rFonts w:ascii="Times New Roman" w:eastAsia="華康細明體(P)" w:hAnsi="Times New Roman" w:cs="Times New Roman" w:hint="eastAsia"/>
          <w:sz w:val="20"/>
          <w:szCs w:val="20"/>
        </w:rPr>
        <w:t>理論的人性面假定</w:t>
      </w:r>
    </w:p>
    <w:p w:rsidR="00CC7D76" w:rsidRDefault="00CC7D76" w:rsidP="002D1F01">
      <w:pPr>
        <w:rPr>
          <w:rFonts w:ascii="Times New Roman" w:eastAsia="華康細明體(P)" w:hAnsi="Times New Roman" w:cs="Times New Roman"/>
          <w:sz w:val="20"/>
          <w:szCs w:val="20"/>
        </w:rPr>
      </w:pPr>
    </w:p>
    <w:p w:rsidR="00CC7D76" w:rsidRPr="00CC7D76" w:rsidRDefault="00CC7D76" w:rsidP="002D1F01">
      <w:pPr>
        <w:rPr>
          <w:rFonts w:ascii="Times New Roman" w:eastAsia="華康細明體(P)" w:hAnsi="Times New Roman" w:cs="Times New Roman"/>
          <w:b/>
          <w:sz w:val="20"/>
          <w:szCs w:val="20"/>
        </w:rPr>
      </w:pPr>
      <w:r w:rsidRPr="00CC7D76">
        <w:rPr>
          <w:rFonts w:ascii="Times New Roman" w:eastAsia="華康細明體(P)" w:hAnsi="Times New Roman" w:cs="Times New Roman" w:hint="eastAsia"/>
          <w:b/>
          <w:sz w:val="20"/>
          <w:szCs w:val="20"/>
        </w:rPr>
        <w:t>P267</w:t>
      </w:r>
    </w:p>
    <w:p w:rsidR="00CC7D76" w:rsidRPr="002D1F01" w:rsidRDefault="00CC7D76" w:rsidP="002D1F01">
      <w:pPr>
        <w:rPr>
          <w:rFonts w:ascii="Times New Roman" w:eastAsia="華康細明體(P)" w:hAnsi="Times New Roman" w:cs="Times New Roman"/>
          <w:sz w:val="20"/>
          <w:szCs w:val="20"/>
        </w:rPr>
      </w:pPr>
      <w:r>
        <w:rPr>
          <w:rFonts w:ascii="新細明體" w:eastAsia="新細明體" w:hAnsi="新細明體" w:cs="新細明體" w:hint="eastAsia"/>
          <w:sz w:val="20"/>
          <w:szCs w:val="20"/>
        </w:rPr>
        <w:t>三、</w:t>
      </w:r>
      <w:r>
        <w:rPr>
          <w:rFonts w:ascii="Times New Roman" w:eastAsia="華康細明體(P)" w:hAnsi="Times New Roman" w:cs="Times New Roman" w:hint="eastAsia"/>
          <w:sz w:val="20"/>
          <w:szCs w:val="20"/>
        </w:rPr>
        <w:t>領導者角色與條件</w:t>
      </w:r>
    </w:p>
    <w:sectPr w:rsidR="00CC7D76" w:rsidRPr="002D1F01" w:rsidSect="005125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52" w:rsidRDefault="00CD7552" w:rsidP="00CD7552">
      <w:r>
        <w:separator/>
      </w:r>
    </w:p>
  </w:endnote>
  <w:endnote w:type="continuationSeparator" w:id="0">
    <w:p w:rsidR="00CD7552" w:rsidRDefault="00CD7552" w:rsidP="00CD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明體(P)">
    <w:panose1 w:val="020203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52" w:rsidRDefault="00CD7552" w:rsidP="00CD7552">
      <w:r>
        <w:separator/>
      </w:r>
    </w:p>
  </w:footnote>
  <w:footnote w:type="continuationSeparator" w:id="0">
    <w:p w:rsidR="00CD7552" w:rsidRDefault="00CD7552" w:rsidP="00CD7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552"/>
    <w:rsid w:val="00050A0F"/>
    <w:rsid w:val="000F61D5"/>
    <w:rsid w:val="00176E33"/>
    <w:rsid w:val="001A0928"/>
    <w:rsid w:val="002D1F01"/>
    <w:rsid w:val="002E3F22"/>
    <w:rsid w:val="003061D8"/>
    <w:rsid w:val="00327429"/>
    <w:rsid w:val="005125DB"/>
    <w:rsid w:val="008413DF"/>
    <w:rsid w:val="00847F3D"/>
    <w:rsid w:val="00985DC1"/>
    <w:rsid w:val="00B16D7E"/>
    <w:rsid w:val="00C64F41"/>
    <w:rsid w:val="00C8247A"/>
    <w:rsid w:val="00CC7D76"/>
    <w:rsid w:val="00CD7552"/>
    <w:rsid w:val="00E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75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7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7552"/>
    <w:rPr>
      <w:sz w:val="20"/>
      <w:szCs w:val="20"/>
    </w:rPr>
  </w:style>
  <w:style w:type="table" w:styleId="a7">
    <w:name w:val="Table Grid"/>
    <w:basedOn w:val="a1"/>
    <w:uiPriority w:val="59"/>
    <w:rsid w:val="00847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SUPERADMIN</dc:creator>
  <cp:keywords/>
  <dc:description/>
  <cp:lastModifiedBy>SUPERADMIN</cp:lastModifiedBy>
  <cp:revision>3</cp:revision>
  <dcterms:created xsi:type="dcterms:W3CDTF">2015-12-18T09:26:00Z</dcterms:created>
  <dcterms:modified xsi:type="dcterms:W3CDTF">2015-12-18T09:27:00Z</dcterms:modified>
</cp:coreProperties>
</file>